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5E2F" w14:textId="77777777" w:rsidR="00170D7A" w:rsidRDefault="00563F32" w:rsidP="00563F32">
      <w:pPr>
        <w:jc w:val="center"/>
      </w:pPr>
      <w:r>
        <w:t>FY23 January Budget Proposal Summary</w:t>
      </w:r>
    </w:p>
    <w:p w14:paraId="4658E54D" w14:textId="77777777" w:rsidR="00563F32" w:rsidRDefault="00563F32" w:rsidP="00563F32">
      <w:pPr>
        <w:jc w:val="center"/>
      </w:pPr>
    </w:p>
    <w:p w14:paraId="5B61859A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FY23 State Budget Surplus ($45.7B) - $1</w:t>
      </w:r>
      <w:r>
        <w:rPr>
          <w:color w:val="000000"/>
        </w:rPr>
        <w:t>.3B </w:t>
      </w:r>
      <w:r>
        <w:t>may be returned to tax payers</w:t>
      </w:r>
    </w:p>
    <w:p w14:paraId="474F46F4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 xml:space="preserve">5.33% COLA for </w:t>
      </w:r>
      <w:r>
        <w:rPr>
          <w:color w:val="000000"/>
        </w:rPr>
        <w:t>apportionments*</w:t>
      </w:r>
    </w:p>
    <w:p w14:paraId="4761C898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$24.9M increase to Prop 98</w:t>
      </w:r>
    </w:p>
    <w:p w14:paraId="0D5953C7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Pension obligations - $3.9B for FY23 which will keep PERS contribution rate for us @ 22.91% and STRS @ 16.92%</w:t>
      </w:r>
    </w:p>
    <w:p w14:paraId="36EFA3A1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Permanently extends ‘hold harmless’ provision to create FY25 as the new funding floor – idea is to ‘smooth’ the potential ‘funding cliff’</w:t>
      </w:r>
    </w:p>
    <w:p w14:paraId="22652305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rPr>
          <w:b/>
          <w:bCs/>
          <w:u w:val="single"/>
        </w:rPr>
        <w:t>NOTE</w:t>
      </w:r>
      <w:r>
        <w:t xml:space="preserve">: COLAs would </w:t>
      </w:r>
      <w:r>
        <w:rPr>
          <w:u w:val="single"/>
        </w:rPr>
        <w:t>NOT</w:t>
      </w:r>
      <w:r>
        <w:t xml:space="preserve"> be cumulative the way they have been since FY18; They would be statutory only</w:t>
      </w:r>
    </w:p>
    <w:p w14:paraId="1CFD2DE4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$105M (one-time): common course numbering</w:t>
      </w:r>
    </w:p>
    <w:p w14:paraId="37D64AB6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$65M (one-time): transfer reform</w:t>
      </w:r>
    </w:p>
    <w:p w14:paraId="32FCFB83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$25M (one-time): procurement and implementation of software that maps intersegmental curricular pathways</w:t>
      </w:r>
    </w:p>
    <w:p w14:paraId="2E49B0CD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$10M (ongoing): EEO program</w:t>
      </w:r>
    </w:p>
    <w:p w14:paraId="5C1064A4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$10M (ongoing): resources to FAOs</w:t>
      </w:r>
    </w:p>
    <w:p w14:paraId="7BF1BBF2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 xml:space="preserve">$10M (ongoing): foster youth support services offered by </w:t>
      </w:r>
      <w:proofErr w:type="spellStart"/>
      <w:r>
        <w:rPr>
          <w:i/>
          <w:iCs/>
        </w:rPr>
        <w:t>NextUp</w:t>
      </w:r>
      <w:proofErr w:type="spellEnd"/>
      <w:r>
        <w:t xml:space="preserve"> from 20 to 30 districts</w:t>
      </w:r>
    </w:p>
    <w:p w14:paraId="03C420FD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$200M (ongoing): augment PT faculty health insurance</w:t>
      </w:r>
    </w:p>
    <w:p w14:paraId="163236F2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A2MEND9Ongoing): $1.1M increase</w:t>
      </w:r>
    </w:p>
    <w:p w14:paraId="1F729BC3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Umoja (one-time): $179K for study on practices that promote student success for African American students</w:t>
      </w:r>
    </w:p>
    <w:p w14:paraId="0ACE4403" w14:textId="77777777" w:rsidR="00563F32" w:rsidRDefault="00563F32" w:rsidP="00563F32">
      <w:pPr>
        <w:pStyle w:val="ListParagraph"/>
        <w:numPr>
          <w:ilvl w:val="0"/>
          <w:numId w:val="1"/>
        </w:numPr>
      </w:pPr>
      <w:proofErr w:type="spellStart"/>
      <w:r>
        <w:t>CCCTech</w:t>
      </w:r>
      <w:proofErr w:type="spellEnd"/>
      <w:r>
        <w:t xml:space="preserve"> Modernization &amp; Data Protections: $75M (one-time) &amp; $25M (ongoing)</w:t>
      </w:r>
    </w:p>
    <w:p w14:paraId="2613D519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Deferred maintenance (includes instructional equipment – IELM): $387.6M (one-time) Prop 98 increase</w:t>
      </w:r>
    </w:p>
    <w:p w14:paraId="61E2E7C9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 xml:space="preserve">$150M (one-time): support efforts &amp; strategies to increase student retention rates &amp; enrollment </w:t>
      </w:r>
    </w:p>
    <w:p w14:paraId="58E303B4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Former students who have withdrawn</w:t>
      </w:r>
    </w:p>
    <w:p w14:paraId="1811E9A2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Current &amp; prospective student hesitant to remain/enroll in college – non-native English speakers, FYP students, working learners, student parents, &amp; re-entry students</w:t>
      </w:r>
    </w:p>
    <w:p w14:paraId="023CAC25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Affordability</w:t>
      </w:r>
    </w:p>
    <w:p w14:paraId="6CA4B512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$300M (one-time): Learning-Aligned Employment Program administered by CA student Aid Commission</w:t>
      </w:r>
    </w:p>
    <w:p w14:paraId="05C36523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$100M (ongoing): SSCGP funds for newly eligible students for Cal Grant B or C award</w:t>
      </w:r>
    </w:p>
    <w:p w14:paraId="340BA1FE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>$20M (one-time): AB540 students</w:t>
      </w:r>
    </w:p>
    <w:p w14:paraId="3D52628B" w14:textId="77777777" w:rsidR="00563F32" w:rsidRDefault="00563F32" w:rsidP="00563F32">
      <w:pPr>
        <w:pStyle w:val="ListParagraph"/>
        <w:numPr>
          <w:ilvl w:val="0"/>
          <w:numId w:val="1"/>
        </w:numPr>
      </w:pPr>
      <w:r>
        <w:t xml:space="preserve">Pathways Grant Program for High-Skilled Careers </w:t>
      </w:r>
    </w:p>
    <w:p w14:paraId="1C9B3D19" w14:textId="77777777" w:rsidR="00563F32" w:rsidRDefault="00563F32" w:rsidP="00563F32">
      <w:pPr>
        <w:pStyle w:val="ListParagraph"/>
        <w:numPr>
          <w:ilvl w:val="1"/>
          <w:numId w:val="1"/>
        </w:numPr>
      </w:pPr>
      <w:r>
        <w:t>$20M (one-time): increase</w:t>
      </w:r>
    </w:p>
    <w:p w14:paraId="0A83B051" w14:textId="77777777" w:rsidR="00563F32" w:rsidRDefault="00563F32" w:rsidP="00563F32">
      <w:pPr>
        <w:rPr>
          <w:color w:val="1F497D"/>
        </w:rPr>
      </w:pPr>
    </w:p>
    <w:p w14:paraId="790FCACB" w14:textId="77777777" w:rsidR="00563F32" w:rsidRDefault="00563F32" w:rsidP="00563F32">
      <w:pPr>
        <w:rPr>
          <w:color w:val="000000"/>
        </w:rPr>
      </w:pPr>
      <w:r>
        <w:rPr>
          <w:color w:val="000000"/>
        </w:rPr>
        <w:t>*Due to drop in FTES, VCCCD will not RECEIVE an overall 5.33% increase in unrestricted revenue</w:t>
      </w:r>
    </w:p>
    <w:p w14:paraId="6DE3D6DD" w14:textId="77777777" w:rsidR="00563F32" w:rsidRDefault="00563F32" w:rsidP="00563F32"/>
    <w:sectPr w:rsidR="00563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A19"/>
    <w:multiLevelType w:val="hybridMultilevel"/>
    <w:tmpl w:val="2D66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32"/>
    <w:rsid w:val="000C141E"/>
    <w:rsid w:val="00170D7A"/>
    <w:rsid w:val="00563F32"/>
    <w:rsid w:val="00E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A078"/>
  <w15:chartTrackingRefBased/>
  <w15:docId w15:val="{DA9A9C70-5C64-4DA0-A068-6B5BB768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F3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Chang-Sanders</dc:creator>
  <cp:keywords/>
  <dc:description/>
  <cp:lastModifiedBy>Linda Chang-Sanders</cp:lastModifiedBy>
  <cp:revision>2</cp:revision>
  <dcterms:created xsi:type="dcterms:W3CDTF">2022-01-21T17:17:00Z</dcterms:created>
  <dcterms:modified xsi:type="dcterms:W3CDTF">2022-01-21T17:17:00Z</dcterms:modified>
</cp:coreProperties>
</file>